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80" w:lineRule="auto"/>
        <w:jc w:val="center"/>
        <w:rPr>
          <w:rFonts w:ascii="Arial" w:cs="Arial" w:eastAsia="Arial" w:hAnsi="Arial"/>
          <w:b w:val="1"/>
          <w:bCs w:val="1"/>
          <w:color w:val="2e74b8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80" w:lineRule="auto"/>
        <w:jc w:val="center"/>
        <w:rPr>
          <w:rFonts w:ascii="Arial" w:cs="Arial" w:eastAsia="Arial" w:hAnsi="Arial"/>
          <w:b w:val="1"/>
          <w:bCs w:val="1"/>
          <w:color w:val="2e74b8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80" w:lineRule="auto"/>
        <w:jc w:val="center"/>
        <w:rPr>
          <w:rFonts w:ascii="Arial" w:cs="Arial" w:eastAsia="Arial" w:hAnsi="Arial"/>
          <w:b w:val="1"/>
          <w:bCs w:val="1"/>
          <w:color w:val="2e74b8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80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2e74b8"/>
          <w:sz w:val="56"/>
          <w:szCs w:val="56"/>
          <w:rtl w:val="0"/>
        </w:rPr>
        <w:t xml:space="preserve">MANUAL DO ALMOXARIFADO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60" w:lineRule="auto"/>
        <w:jc w:val="center"/>
        <w:rPr/>
      </w:pPr>
      <w:r w:rsidDel="00000000" w:rsidR="00000000" w:rsidRPr="00000000">
        <w:rPr>
          <w:rFonts w:ascii="Arial" w:cs="Arial" w:eastAsia="Arial" w:hAnsi="Arial"/>
          <w:color w:val="2e74b8"/>
          <w:sz w:val="36"/>
          <w:szCs w:val="36"/>
          <w:rtl w:val="0"/>
        </w:rPr>
        <w:t xml:space="preserve">Relatório de Média de Consumo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600" w:lineRule="auto"/>
        <w:jc w:val="center"/>
        <w:rPr/>
      </w:pPr>
      <w:r w:rsidDel="00000000" w:rsidR="00000000" w:rsidRPr="00000000">
        <w:rPr>
          <w:rFonts w:ascii="Arial" w:cs="Arial" w:eastAsia="Arial" w:hAnsi="Arial"/>
          <w:color w:val="2e74b8"/>
          <w:sz w:val="36"/>
          <w:szCs w:val="36"/>
          <w:rtl w:val="0"/>
        </w:rPr>
        <w:t xml:space="preserve">Versão 8.35.0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6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Data da liberação:  03/08/2026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Data do Manual: 03/08/2026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1"/>
        <w:spacing w:before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spacing w:before="0" w:lineRule="auto"/>
        <w:rPr/>
      </w:pPr>
      <w:r w:rsidDel="00000000" w:rsidR="00000000" w:rsidRPr="00000000">
        <w:rPr>
          <w:rtl w:val="0"/>
        </w:rPr>
        <w:t xml:space="preserve">Objetivo da Funcionalidade</w:t>
      </w:r>
    </w:p>
    <w:p w:rsidR="00000000" w:rsidDel="00000000" w:rsidP="00000000" w:rsidRDefault="00000000" w:rsidRPr="00000000" w14:paraId="0000000F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Permitir que 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gestor de almoxarifado</w:t>
      </w:r>
      <w:r w:rsidDel="00000000" w:rsidR="00000000" w:rsidRPr="00000000">
        <w:rPr>
          <w:rFonts w:ascii="Arial" w:cs="Arial" w:eastAsia="Arial" w:hAnsi="Arial"/>
          <w:rtl w:val="0"/>
        </w:rPr>
        <w:t xml:space="preserve"> emita 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Relatório de Média de Consumo</w:t>
      </w:r>
      <w:r w:rsidDel="00000000" w:rsidR="00000000" w:rsidRPr="00000000">
        <w:rPr>
          <w:rFonts w:ascii="Arial" w:cs="Arial" w:eastAsia="Arial" w:hAnsi="Arial"/>
          <w:rtl w:val="0"/>
        </w:rPr>
        <w:t xml:space="preserve">, que apresenta a média de consumo dos bens por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Órgão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Unidade Organizacional (UO)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Setor</w:t>
      </w:r>
      <w:r w:rsidDel="00000000" w:rsidR="00000000" w:rsidRPr="00000000">
        <w:rPr>
          <w:rFonts w:ascii="Arial" w:cs="Arial" w:eastAsia="Arial" w:hAnsi="Arial"/>
          <w:rtl w:val="0"/>
        </w:rPr>
        <w:t xml:space="preserve">, auxiliando o acompanhamento do consumo e o planejamento de reposição de estoque no almoxarifado.</w:t>
      </w:r>
    </w:p>
    <w:p w:rsidR="00000000" w:rsidDel="00000000" w:rsidP="00000000" w:rsidRDefault="00000000" w:rsidRPr="00000000" w14:paraId="00000010">
      <w:pPr>
        <w:pStyle w:val="Heading1"/>
        <w:spacing w:before="360" w:lineRule="auto"/>
        <w:rPr/>
      </w:pPr>
      <w:r w:rsidDel="00000000" w:rsidR="00000000" w:rsidRPr="00000000">
        <w:rPr>
          <w:rtl w:val="0"/>
        </w:rPr>
        <w:t xml:space="preserve">Emitindo o Relatório de Média de Consumo</w:t>
      </w:r>
    </w:p>
    <w:p w:rsidR="00000000" w:rsidDel="00000000" w:rsidP="00000000" w:rsidRDefault="00000000" w:rsidRPr="00000000" w14:paraId="00000011">
      <w:pPr>
        <w:pStyle w:val="Heading2"/>
        <w:spacing w:after="120" w:before="280" w:lineRule="auto"/>
        <w:rPr/>
      </w:pPr>
      <w:r w:rsidDel="00000000" w:rsidR="00000000" w:rsidRPr="00000000">
        <w:rPr>
          <w:rtl w:val="0"/>
        </w:rPr>
        <w:t xml:space="preserve">Passo 1 — Acessar o Relatório</w:t>
      </w:r>
    </w:p>
    <w:p w:rsidR="00000000" w:rsidDel="00000000" w:rsidP="00000000" w:rsidRDefault="00000000" w:rsidRPr="00000000" w14:paraId="00000012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Acesse o menu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Relatórios</w:t>
      </w:r>
      <w:r w:rsidDel="00000000" w:rsidR="00000000" w:rsidRPr="00000000">
        <w:rPr>
          <w:rFonts w:ascii="Arial" w:cs="Arial" w:eastAsia="Arial" w:hAnsi="Arial"/>
          <w:rtl w:val="0"/>
        </w:rPr>
        <w:t xml:space="preserve"> &gt;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Saída</w:t>
      </w:r>
      <w:r w:rsidDel="00000000" w:rsidR="00000000" w:rsidRPr="00000000">
        <w:rPr>
          <w:rFonts w:ascii="Arial" w:cs="Arial" w:eastAsia="Arial" w:hAnsi="Arial"/>
          <w:rtl w:val="0"/>
        </w:rPr>
        <w:t xml:space="preserve"> e, no campo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Tipo de Relatório</w:t>
      </w:r>
      <w:r w:rsidDel="00000000" w:rsidR="00000000" w:rsidRPr="00000000">
        <w:rPr>
          <w:rFonts w:ascii="Arial" w:cs="Arial" w:eastAsia="Arial" w:hAnsi="Arial"/>
          <w:rtl w:val="0"/>
        </w:rPr>
        <w:t xml:space="preserve">, selecione a opção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Média de Consumo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24257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42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80" w:lineRule="auto"/>
        <w:jc w:val="center"/>
        <w:rPr/>
      </w:pPr>
      <w:r w:rsidDel="00000000" w:rsidR="00000000" w:rsidRPr="00000000">
        <w:rPr>
          <w:rFonts w:ascii="Arial" w:cs="Arial" w:eastAsia="Arial" w:hAnsi="Arial"/>
          <w:i w:val="1"/>
          <w:iCs w:val="1"/>
          <w:color w:val="666666"/>
          <w:sz w:val="18"/>
          <w:szCs w:val="18"/>
          <w:rtl w:val="0"/>
        </w:rPr>
        <w:t xml:space="preserve">Tela de seleção do tipo de relatório com a opção Média de Consumo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spacing w:after="120" w:before="280" w:lineRule="auto"/>
        <w:rPr/>
      </w:pPr>
      <w:r w:rsidDel="00000000" w:rsidR="00000000" w:rsidRPr="00000000">
        <w:rPr>
          <w:rtl w:val="0"/>
        </w:rPr>
        <w:t xml:space="preserve">Passo 2 — Preencher os Filtros</w:t>
      </w:r>
    </w:p>
    <w:p w:rsidR="00000000" w:rsidDel="00000000" w:rsidP="00000000" w:rsidRDefault="00000000" w:rsidRPr="00000000" w14:paraId="00000016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Preencha os filtros desejados para a emissão do relatório: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Órgão</w:t>
      </w:r>
      <w:r w:rsidDel="00000000" w:rsidR="00000000" w:rsidRPr="00000000">
        <w:rPr>
          <w:rFonts w:ascii="Arial" w:cs="Arial" w:eastAsia="Arial" w:hAnsi="Arial"/>
          <w:rtl w:val="0"/>
        </w:rPr>
        <w:t xml:space="preserve"> (obrigatório)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Unidade Organizacional</w:t>
      </w:r>
      <w:r w:rsidDel="00000000" w:rsidR="00000000" w:rsidRPr="00000000">
        <w:rPr>
          <w:rFonts w:ascii="Arial" w:cs="Arial" w:eastAsia="Arial" w:hAnsi="Arial"/>
          <w:rtl w:val="0"/>
        </w:rPr>
        <w:t xml:space="preserve">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Setor</w:t>
      </w:r>
      <w:r w:rsidDel="00000000" w:rsidR="00000000" w:rsidRPr="00000000">
        <w:rPr>
          <w:rFonts w:ascii="Arial" w:cs="Arial" w:eastAsia="Arial" w:hAnsi="Arial"/>
          <w:rtl w:val="0"/>
        </w:rPr>
        <w:t xml:space="preserve">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Natureza de Despesa</w:t>
      </w:r>
      <w:r w:rsidDel="00000000" w:rsidR="00000000" w:rsidRPr="00000000">
        <w:rPr>
          <w:rFonts w:ascii="Arial" w:cs="Arial" w:eastAsia="Arial" w:hAnsi="Arial"/>
          <w:rtl w:val="0"/>
        </w:rPr>
        <w:t xml:space="preserve">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Código/Descrição do Bem</w:t>
      </w:r>
      <w:r w:rsidDel="00000000" w:rsidR="00000000" w:rsidRPr="00000000">
        <w:rPr>
          <w:rFonts w:ascii="Arial" w:cs="Arial" w:eastAsia="Arial" w:hAnsi="Arial"/>
          <w:rtl w:val="0"/>
        </w:rPr>
        <w:t xml:space="preserve">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 Inicial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 Final</w:t>
      </w:r>
      <w:r w:rsidDel="00000000" w:rsidR="00000000" w:rsidRPr="00000000">
        <w:rPr>
          <w:rFonts w:ascii="Arial" w:cs="Arial" w:eastAsia="Arial" w:hAnsi="Arial"/>
          <w:rtl w:val="0"/>
        </w:rPr>
        <w:t xml:space="preserve">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1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Ordenar Item Por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Código ou Descrição (opcional)</w:t>
      </w:r>
    </w:p>
    <w:p w:rsidR="00000000" w:rsidDel="00000000" w:rsidP="00000000" w:rsidRDefault="00000000" w:rsidRPr="00000000" w14:paraId="0000001E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2413000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413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80" w:lineRule="auto"/>
        <w:jc w:val="center"/>
        <w:rPr/>
      </w:pPr>
      <w:r w:rsidDel="00000000" w:rsidR="00000000" w:rsidRPr="00000000">
        <w:rPr>
          <w:rFonts w:ascii="Arial" w:cs="Arial" w:eastAsia="Arial" w:hAnsi="Arial"/>
          <w:i w:val="1"/>
          <w:iCs w:val="1"/>
          <w:color w:val="666666"/>
          <w:sz w:val="18"/>
          <w:szCs w:val="18"/>
          <w:rtl w:val="0"/>
        </w:rPr>
        <w:t xml:space="preserve">Tela de filtros do Relatório de Média de Consumo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i w:val="1"/>
          <w:i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um ícone de informação no campo data de saída, o sistema exibe a mensagem informativa: </w:t>
      </w:r>
      <w:r w:rsidDel="00000000" w:rsidR="00000000" w:rsidRPr="00000000">
        <w:rPr>
          <w:rFonts w:ascii="Arial" w:cs="Arial" w:eastAsia="Arial" w:hAnsi="Arial"/>
          <w:i w:val="1"/>
          <w:iCs w:val="1"/>
          <w:rtl w:val="0"/>
        </w:rPr>
        <w:t xml:space="preserve">“O período informado é considerado apenas no cálculo da coluna Média Período.”</w:t>
      </w:r>
    </w:p>
    <w:p w:rsidR="00000000" w:rsidDel="00000000" w:rsidP="00000000" w:rsidRDefault="00000000" w:rsidRPr="00000000" w14:paraId="00000021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2209800"/>
            <wp:effectExtent b="0" l="0" r="0" t="0"/>
            <wp:docPr id="1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20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 </w:t>
      </w:r>
    </w:p>
    <w:p w:rsidR="00000000" w:rsidDel="00000000" w:rsidP="00000000" w:rsidRDefault="00000000" w:rsidRPr="00000000" w14:paraId="00000022">
      <w:pPr>
        <w:pStyle w:val="Heading2"/>
        <w:spacing w:after="120" w:before="280" w:lineRule="auto"/>
        <w:rPr/>
      </w:pPr>
      <w:r w:rsidDel="00000000" w:rsidR="00000000" w:rsidRPr="00000000">
        <w:rPr>
          <w:rtl w:val="0"/>
        </w:rPr>
        <w:t xml:space="preserve">Passo 3 — Emitir o Relatório</w:t>
      </w:r>
    </w:p>
    <w:p w:rsidR="00000000" w:rsidDel="00000000" w:rsidP="00000000" w:rsidRDefault="00000000" w:rsidRPr="00000000" w14:paraId="00000023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Após preencher os filtros desejados, clique em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Emitir</w:t>
      </w:r>
      <w:r w:rsidDel="00000000" w:rsidR="00000000" w:rsidRPr="00000000">
        <w:rPr>
          <w:rFonts w:ascii="Arial" w:cs="Arial" w:eastAsia="Arial" w:hAnsi="Arial"/>
          <w:rtl w:val="0"/>
        </w:rPr>
        <w:t xml:space="preserve"> e escolha o formato de exportação: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PDF</w:t>
      </w:r>
      <w:r w:rsidDel="00000000" w:rsidR="00000000" w:rsidRPr="00000000">
        <w:rPr>
          <w:rFonts w:ascii="Arial" w:cs="Arial" w:eastAsia="Arial" w:hAnsi="Arial"/>
          <w:rtl w:val="0"/>
        </w:rPr>
        <w:t xml:space="preserve"> ou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XLS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4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2400300"/>
            <wp:effectExtent b="0" l="0" r="0" t="0"/>
            <wp:docPr id="1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40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80" w:lineRule="auto"/>
        <w:jc w:val="center"/>
        <w:rPr/>
      </w:pPr>
      <w:r w:rsidDel="00000000" w:rsidR="00000000" w:rsidRPr="00000000">
        <w:rPr>
          <w:rFonts w:ascii="Arial" w:cs="Arial" w:eastAsia="Arial" w:hAnsi="Arial"/>
          <w:i w:val="1"/>
          <w:iCs w:val="1"/>
          <w:color w:val="666666"/>
          <w:sz w:val="18"/>
          <w:szCs w:val="18"/>
          <w:rtl w:val="0"/>
        </w:rPr>
        <w:t xml:space="preserve">Botões de exportação do Relatório de Média de Consumo em PDF e XLS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1"/>
        <w:spacing w:before="360" w:lineRule="auto"/>
        <w:rPr/>
      </w:pPr>
      <w:r w:rsidDel="00000000" w:rsidR="00000000" w:rsidRPr="00000000">
        <w:rPr>
          <w:rtl w:val="0"/>
        </w:rPr>
        <w:t xml:space="preserve">Estrutura do Relatório</w:t>
      </w:r>
    </w:p>
    <w:p w:rsidR="00000000" w:rsidDel="00000000" w:rsidP="00000000" w:rsidRDefault="00000000" w:rsidRPr="00000000" w14:paraId="00000027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relatório é organizado em blocos hierárquicos por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Órgão</w:t>
      </w:r>
      <w:r w:rsidDel="00000000" w:rsidR="00000000" w:rsidRPr="00000000">
        <w:rPr>
          <w:rFonts w:ascii="Arial" w:cs="Arial" w:eastAsia="Arial" w:hAnsi="Arial"/>
          <w:rtl w:val="0"/>
        </w:rPr>
        <w:t xml:space="preserve"> &gt;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Unidade Organizacional</w:t>
      </w:r>
      <w:r w:rsidDel="00000000" w:rsidR="00000000" w:rsidRPr="00000000">
        <w:rPr>
          <w:rFonts w:ascii="Arial" w:cs="Arial" w:eastAsia="Arial" w:hAnsi="Arial"/>
          <w:rtl w:val="0"/>
        </w:rPr>
        <w:t xml:space="preserve"> &gt;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Setor</w:t>
      </w:r>
      <w:r w:rsidDel="00000000" w:rsidR="00000000" w:rsidRPr="00000000">
        <w:rPr>
          <w:rFonts w:ascii="Arial" w:cs="Arial" w:eastAsia="Arial" w:hAnsi="Arial"/>
          <w:rtl w:val="0"/>
        </w:rPr>
        <w:t xml:space="preserve">, com um totalizador ao final de cada Setor, de cada Unidade Organizacional e de cada Órgão. Dentro de cada Setor são listados os itens com as seguintes colunas quando filtrados sem período informado:</w:t>
      </w:r>
    </w:p>
    <w:tbl>
      <w:tblPr>
        <w:tblStyle w:val="Table1"/>
        <w:tblW w:w="10710.0" w:type="dxa"/>
        <w:jc w:val="left"/>
        <w:tblInd w:w="-705.0" w:type="dxa"/>
        <w:tblBorders>
          <w:top w:color="b9c6d6" w:space="0" w:sz="4" w:val="single"/>
          <w:left w:color="b9c6d6" w:space="0" w:sz="4" w:val="single"/>
          <w:bottom w:color="b9c6d6" w:space="0" w:sz="4" w:val="single"/>
          <w:right w:color="b9c6d6" w:space="0" w:sz="4" w:val="single"/>
          <w:insideH w:color="b9c6d6" w:space="0" w:sz="4" w:val="single"/>
          <w:insideV w:color="b9c6d6" w:space="0" w:sz="4" w:val="single"/>
        </w:tblBorders>
        <w:tblLayout w:type="fixed"/>
        <w:tblLook w:val="0400"/>
      </w:tblPr>
      <w:tblGrid>
        <w:gridCol w:w="1425"/>
        <w:gridCol w:w="2085"/>
        <w:gridCol w:w="1485"/>
        <w:gridCol w:w="1515"/>
        <w:gridCol w:w="1395"/>
        <w:gridCol w:w="1500"/>
        <w:gridCol w:w="1305"/>
        <w:tblGridChange w:id="0">
          <w:tblGrid>
            <w:gridCol w:w="1425"/>
            <w:gridCol w:w="2085"/>
            <w:gridCol w:w="1485"/>
            <w:gridCol w:w="1515"/>
            <w:gridCol w:w="1395"/>
            <w:gridCol w:w="1500"/>
            <w:gridCol w:w="1305"/>
          </w:tblGrid>
        </w:tblGridChange>
      </w:tblGrid>
      <w:tr>
        <w:trPr>
          <w:cantSplit w:val="0"/>
          <w:tblHeader w:val="0"/>
        </w:trPr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Código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Descrição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Últimos 3 Meses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Últimos 6 Meses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Últimos 12 Meses</w:t>
            </w:r>
          </w:p>
        </w:tc>
        <w:tc>
          <w:tcPr>
            <w:shd w:fill="2e74b8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Média Período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0001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Papel A4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Resma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70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140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8,33</w:t>
            </w:r>
          </w:p>
        </w:tc>
      </w:tr>
    </w:tbl>
    <w:p w:rsidR="00000000" w:rsidDel="00000000" w:rsidP="00000000" w:rsidRDefault="00000000" w:rsidRPr="00000000" w14:paraId="00000036">
      <w:pPr>
        <w:spacing w:after="160" w:lineRule="auto"/>
        <w:ind w:left="720" w:firstLine="0"/>
        <w:jc w:val="both"/>
        <w:rPr/>
      </w:pPr>
      <w:r w:rsidDel="00000000" w:rsidR="00000000" w:rsidRPr="00000000">
        <w:rPr>
          <w:rFonts w:ascii="Arial" w:cs="Arial" w:eastAsia="Arial" w:hAnsi="Arial"/>
          <w:i w:val="1"/>
          <w:iCs w:val="1"/>
          <w:color w:val="666666"/>
          <w:sz w:val="18"/>
          <w:szCs w:val="18"/>
          <w:rtl w:val="0"/>
        </w:rPr>
        <w:t xml:space="preserve">Estrutura do relatório agrupado por Órgão, Unidade Organizacional e Setor, com totalizadores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cabeçalho da impressão exibe todos os filtros preenchidos pelo usuário na emissão, como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Órgão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Unidade Organizacional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Setor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Natureza de Despesa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Ordenar Item Por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38">
      <w:pPr>
        <w:pBdr>
          <w:left w:color="2e74b8" w:space="4" w:sz="12" w:val="single"/>
        </w:pBdr>
        <w:shd w:fill="eef3f8" w:val="clear"/>
        <w:spacing w:after="160" w:before="80" w:lineRule="auto"/>
        <w:ind w:left="20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Ponto de atenção: </w:t>
      </w:r>
      <w:r w:rsidDel="00000000" w:rsidR="00000000" w:rsidRPr="00000000">
        <w:rPr>
          <w:rFonts w:ascii="Arial" w:cs="Arial" w:eastAsia="Arial" w:hAnsi="Arial"/>
          <w:rtl w:val="0"/>
        </w:rPr>
        <w:t xml:space="preserve">como o relatório agrupa as saídas por Unidade Organizacional (UO), os itens de uma saída registrada em um Setor que não possua UO vinculada na estrutura organizacional não serão contabilizados no relatório.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spacing w:after="120" w:before="280" w:lineRule="auto"/>
        <w:rPr/>
      </w:pPr>
      <w:bookmarkStart w:colFirst="0" w:colLast="0" w:name="_bbvqjybe31" w:id="0"/>
      <w:bookmarkEnd w:id="0"/>
      <w:r w:rsidDel="00000000" w:rsidR="00000000" w:rsidRPr="00000000">
        <w:rPr>
          <w:rtl w:val="0"/>
        </w:rPr>
        <w:t xml:space="preserve">Como as Médias são Calculadas</w:t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Todas as médias do relatório são calculadas com base em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meses fechados</w:t>
      </w:r>
      <w:r w:rsidDel="00000000" w:rsidR="00000000" w:rsidRPr="00000000">
        <w:rPr>
          <w:rFonts w:ascii="Arial" w:cs="Arial" w:eastAsia="Arial" w:hAnsi="Arial"/>
          <w:rtl w:val="0"/>
        </w:rPr>
        <w:t xml:space="preserve">, ou seja, meses completos do calendário — com 28, 29, 30 ou 31 dias, conforme o mês — e não em janelas de 30 dias corridos. O mês atual, ainda em andamento, nunca entra nesse cálculo.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3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soma o consumo dos 3 meses fechados anteriores ao mês atual e divide o resultado por 3.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6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soma o consumo dos 6 meses fechados anteriores ao mês atual e divide o resultado por 6.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12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soma o consumo dos 12 meses fechados anteriores ao mês atual e divide o resultado por 12.</w:t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 colunas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3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6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Últimos 12 Meses</w:t>
      </w:r>
      <w:r w:rsidDel="00000000" w:rsidR="00000000" w:rsidRPr="00000000">
        <w:rPr>
          <w:rFonts w:ascii="Arial" w:cs="Arial" w:eastAsia="Arial" w:hAnsi="Arial"/>
          <w:rtl w:val="0"/>
        </w:rPr>
        <w:t xml:space="preserve"> sempre consideram os meses fechados anteriores ao mês atual, independentemente do período informado pelo usuário na emissão. Os campos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Até</w:t>
      </w:r>
      <w:r w:rsidDel="00000000" w:rsidR="00000000" w:rsidRPr="00000000">
        <w:rPr>
          <w:rFonts w:ascii="Arial" w:cs="Arial" w:eastAsia="Arial" w:hAnsi="Arial"/>
          <w:rtl w:val="0"/>
        </w:rPr>
        <w:t xml:space="preserve">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Data da Saída</w:t>
      </w:r>
      <w:r w:rsidDel="00000000" w:rsidR="00000000" w:rsidRPr="00000000">
        <w:rPr>
          <w:rFonts w:ascii="Arial" w:cs="Arial" w:eastAsia="Arial" w:hAnsi="Arial"/>
          <w:rtl w:val="0"/>
        </w:rPr>
        <w:t xml:space="preserve"> preenchidos pelo usuário afetam somente o cálculo da coluna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Média 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Média 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divide a quantidade consumida dentro do intervalo informado pela quantidade de meses do período. </w:t>
      </w:r>
    </w:p>
    <w:p w:rsidR="00000000" w:rsidDel="00000000" w:rsidP="00000000" w:rsidRDefault="00000000" w:rsidRPr="00000000" w14:paraId="00000040">
      <w:pPr>
        <w:pBdr>
          <w:left w:color="2e74b8" w:space="4" w:sz="12" w:val="single"/>
        </w:pBdr>
        <w:shd w:fill="eef3f8" w:val="clear"/>
        <w:spacing w:after="40" w:before="80" w:lineRule="auto"/>
        <w:ind w:left="200" w:right="-55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Exemplo: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left w:color="2e74b8" w:space="4" w:sz="12" w:val="single"/>
        </w:pBdr>
        <w:shd w:fill="eef3f8" w:val="clear"/>
        <w:spacing w:after="40" w:lineRule="auto"/>
        <w:ind w:left="200" w:right="-55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a emissão ocorrer em 27/04/2026, a coluna Últimos 3 Meses considera: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pBdr>
          <w:left w:color="2e74b8" w:space="4" w:sz="12" w:val="single"/>
        </w:pBdr>
        <w:shd w:fill="eef3f8" w:val="clear"/>
        <w:spacing w:after="0" w:lineRule="auto"/>
        <w:ind w:left="560" w:right="-555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Março/2026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left w:color="2e74b8" w:space="4" w:sz="12" w:val="single"/>
        </w:pBdr>
        <w:shd w:fill="eef3f8" w:val="clear"/>
        <w:spacing w:after="0" w:lineRule="auto"/>
        <w:ind w:left="560" w:right="-555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Fevereiro/2026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pBdr>
          <w:left w:color="2e74b8" w:space="4" w:sz="12" w:val="single"/>
        </w:pBdr>
        <w:shd w:fill="eef3f8" w:val="clear"/>
        <w:spacing w:after="40" w:lineRule="auto"/>
        <w:ind w:left="560" w:right="-555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Janeiro/2026</w:t>
      </w:r>
    </w:p>
    <w:p w:rsidR="00000000" w:rsidDel="00000000" w:rsidP="00000000" w:rsidRDefault="00000000" w:rsidRPr="00000000" w14:paraId="00000045">
      <w:pPr>
        <w:pBdr>
          <w:left w:color="2e74b8" w:space="4" w:sz="12" w:val="single"/>
        </w:pBdr>
        <w:shd w:fill="eef3f8" w:val="clear"/>
        <w:spacing w:after="40" w:lineRule="auto"/>
        <w:ind w:left="200" w:right="-555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Resultado: </w:t>
      </w:r>
      <w:r w:rsidDel="00000000" w:rsidR="00000000" w:rsidRPr="00000000">
        <w:rPr>
          <w:rFonts w:ascii="Arial" w:cs="Arial" w:eastAsia="Arial" w:hAnsi="Arial"/>
          <w:rtl w:val="0"/>
        </w:rPr>
        <w:t xml:space="preserve">(Consumo de Março + Consumo de Fevereiro + Consumo de Janeiro) / 3</w:t>
      </w:r>
    </w:p>
    <w:p w:rsidR="00000000" w:rsidDel="00000000" w:rsidP="00000000" w:rsidRDefault="00000000" w:rsidRPr="00000000" w14:paraId="00000046">
      <w:pPr>
        <w:pBdr>
          <w:left w:color="2e74b8" w:space="4" w:sz="12" w:val="single"/>
        </w:pBdr>
        <w:shd w:fill="eef3f8" w:val="clear"/>
        <w:ind w:left="200" w:right="-555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coluna Últimos 6 Meses seguiria a mesma lógica somando os 6 meses fechados anteriores (março/2026 até outubro/2025, divididos por 6), e a coluna Últimos 12 Meses somando os 12 meses fechados anteriores (março/2026 até abril/2025, divididos por 12). Esses três cálculos não mudam mesmo que o usuário informe uma Data da Saída diferente — esse período afeta apenas a coluna Média Período.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spacing w:after="120" w:before="280" w:lineRule="auto"/>
        <w:rPr/>
      </w:pPr>
      <w:r w:rsidDel="00000000" w:rsidR="00000000" w:rsidRPr="00000000">
        <w:rPr>
          <w:rtl w:val="0"/>
        </w:rPr>
        <w:t xml:space="preserve">Exibição da Coluna e do Cabeçalho “Período”</w:t>
      </w:r>
    </w:p>
    <w:p w:rsidR="00000000" w:rsidDel="00000000" w:rsidP="00000000" w:rsidRDefault="00000000" w:rsidRPr="00000000" w14:paraId="00000048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coluna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Média 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 e o cabeçalho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 somente aparecem na impressão em PDF ou XLS quando o usuário preenche 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 Inicial</w:t>
      </w:r>
      <w:r w:rsidDel="00000000" w:rsidR="00000000" w:rsidRPr="00000000">
        <w:rPr>
          <w:rFonts w:ascii="Arial" w:cs="Arial" w:eastAsia="Arial" w:hAnsi="Arial"/>
          <w:rtl w:val="0"/>
        </w:rPr>
        <w:t xml:space="preserve"> e 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 Final</w:t>
      </w:r>
      <w:r w:rsidDel="00000000" w:rsidR="00000000" w:rsidRPr="00000000">
        <w:rPr>
          <w:rFonts w:ascii="Arial" w:cs="Arial" w:eastAsia="Arial" w:hAnsi="Arial"/>
          <w:rtl w:val="0"/>
        </w:rPr>
        <w:t xml:space="preserve"> na tela de filtros.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Sem período informado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a coluna Média Período e o cabeçalho Período não são exibidos no relatório.</w:t>
      </w:r>
    </w:p>
    <w:p w:rsidR="00000000" w:rsidDel="00000000" w:rsidP="00000000" w:rsidRDefault="00000000" w:rsidRPr="00000000" w14:paraId="0000004A">
      <w:pPr>
        <w:spacing w:after="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3403600"/>
            <wp:effectExtent b="0" l="0" r="0" t="0"/>
            <wp:docPr id="1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340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spacing w:after="16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Com período informado</w:t>
      </w:r>
      <w:r w:rsidDel="00000000" w:rsidR="00000000" w:rsidRPr="00000000">
        <w:rPr>
          <w:rFonts w:ascii="Arial" w:cs="Arial" w:eastAsia="Arial" w:hAnsi="Arial"/>
          <w:rtl w:val="0"/>
        </w:rPr>
        <w:t xml:space="preserve"> — a coluna Média Período e o cabeçalho Período são exibidos normalmente, com o intervalo informado pelo usuário.</w:t>
      </w:r>
    </w:p>
    <w:p w:rsidR="00000000" w:rsidDel="00000000" w:rsidP="00000000" w:rsidRDefault="00000000" w:rsidRPr="00000000" w14:paraId="0000004C">
      <w:pPr>
        <w:spacing w:after="1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5399730" cy="2908300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290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1"/>
        <w:spacing w:before="360" w:lineRule="auto"/>
        <w:rPr/>
      </w:pPr>
      <w:r w:rsidDel="00000000" w:rsidR="00000000" w:rsidRPr="00000000">
        <w:rPr>
          <w:rtl w:val="0"/>
        </w:rPr>
        <w:t xml:space="preserve">Controles e Restrições</w:t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Relatório de Média de Consumo</w:t>
      </w:r>
      <w:r w:rsidDel="00000000" w:rsidR="00000000" w:rsidRPr="00000000">
        <w:rPr>
          <w:rFonts w:ascii="Arial" w:cs="Arial" w:eastAsia="Arial" w:hAnsi="Arial"/>
          <w:rtl w:val="0"/>
        </w:rPr>
        <w:t xml:space="preserve"> agrupa os dados hierarquicamente por Órgão, Unidade Organizacional e Setor, com totalizadores em cada nível.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filtro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Órgão</w:t>
      </w:r>
      <w:r w:rsidDel="00000000" w:rsidR="00000000" w:rsidRPr="00000000">
        <w:rPr>
          <w:rFonts w:ascii="Arial" w:cs="Arial" w:eastAsia="Arial" w:hAnsi="Arial"/>
          <w:rtl w:val="0"/>
        </w:rPr>
        <w:t xml:space="preserve"> é obrigatório para a emissão do relatório; os demais filtros são opcionais.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coluna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Média 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 e o cabeçalho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Período</w:t>
      </w:r>
      <w:r w:rsidDel="00000000" w:rsidR="00000000" w:rsidRPr="00000000">
        <w:rPr>
          <w:rFonts w:ascii="Arial" w:cs="Arial" w:eastAsia="Arial" w:hAnsi="Arial"/>
          <w:rtl w:val="0"/>
        </w:rPr>
        <w:t xml:space="preserve"> somente são exibidos quando o campo data de saída  é informado na emissão.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relatório pode ser exportado nos formatos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PDF</w:t>
      </w:r>
      <w:r w:rsidDel="00000000" w:rsidR="00000000" w:rsidRPr="00000000">
        <w:rPr>
          <w:rFonts w:ascii="Arial" w:cs="Arial" w:eastAsia="Arial" w:hAnsi="Arial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XLS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60" w:lineRule="auto"/>
        <w:ind w:left="0" w:firstLine="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tl w:val="0"/>
        </w:rPr>
      </w:r>
    </w:p>
    <w:sectPr>
      <w:headerReference r:id="rId12" w:type="default"/>
      <w:headerReference r:id="rId13" w:type="first"/>
      <w:footerReference r:id="rId14" w:type="default"/>
      <w:footerReference r:id="rId15" w:type="first"/>
      <w:pgSz w:h="16838" w:w="11906" w:orient="portrait"/>
      <w:pgMar w:bottom="1417" w:top="1747" w:left="1701" w:right="1701" w:header="709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Verda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-4825996</wp:posOffset>
          </wp:positionH>
          <wp:positionV relativeFrom="paragraph">
            <wp:posOffset>43200</wp:posOffset>
          </wp:positionV>
          <wp:extent cx="11320780" cy="1290320"/>
          <wp:effectExtent b="0" l="0" r="0" t="0"/>
          <wp:wrapNone/>
          <wp:docPr descr="Forma&#10;&#10;Descrição gerada automaticamente" id="4" name="image11.png"/>
          <a:graphic>
            <a:graphicData uri="http://schemas.openxmlformats.org/drawingml/2006/picture">
              <pic:pic>
                <pic:nvPicPr>
                  <pic:cNvPr descr="Forma&#10;&#10;Descrição gerada automaticamente" id="0" name="image1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320780" cy="129032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-1104896</wp:posOffset>
          </wp:positionH>
          <wp:positionV relativeFrom="paragraph">
            <wp:posOffset>156975</wp:posOffset>
          </wp:positionV>
          <wp:extent cx="11325225" cy="1205100"/>
          <wp:effectExtent b="0" l="0" r="0" t="0"/>
          <wp:wrapNone/>
          <wp:docPr descr="Forma&#10;&#10;Descrição gerada automaticamente" id="5" name="image10.png"/>
          <a:graphic>
            <a:graphicData uri="http://schemas.openxmlformats.org/drawingml/2006/picture">
              <pic:pic>
                <pic:nvPicPr>
                  <pic:cNvPr descr="Forma&#10;&#10;Descrição gerada automaticamente" id="0" name="image10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325225" cy="1205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5737549</wp:posOffset>
          </wp:positionH>
          <wp:positionV relativeFrom="paragraph">
            <wp:posOffset>147819</wp:posOffset>
          </wp:positionV>
          <wp:extent cx="639192" cy="519783"/>
          <wp:effectExtent b="0" l="0" r="0" t="0"/>
          <wp:wrapNone/>
          <wp:docPr descr="Uma imagem contendo Interface gráfica do usuário&#10;&#10;Descrição gerada automaticamente" id="6" name="image3.png"/>
          <a:graphic>
            <a:graphicData uri="http://schemas.openxmlformats.org/drawingml/2006/picture">
              <pic:pic>
                <pic:nvPicPr>
                  <pic:cNvPr descr="Uma imagem contendo Interface gráfica do usuário&#10;&#10;Descrição gerada automaticamente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9192" cy="51978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jc w:val="center"/>
      <w:rPr/>
    </w:pPr>
    <w:r w:rsidDel="00000000" w:rsidR="00000000" w:rsidRPr="00000000">
      <w:rPr>
        <w:rtl w:val="0"/>
      </w:rPr>
      <w:t xml:space="preserve">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Arial Narrow" w:cs="Arial Narrow" w:eastAsia="Arial Narrow" w:hAnsi="Arial Narrow"/>
        <w:color w:val="ffffff"/>
      </w:rPr>
    </w:pPr>
    <w:r w:rsidDel="00000000" w:rsidR="00000000" w:rsidRPr="00000000">
      <w:rPr>
        <w:rFonts w:ascii="Arial Narrow" w:cs="Arial Narrow" w:eastAsia="Arial Narrow" w:hAnsi="Arial Narrow"/>
        <w:color w:val="ffffff"/>
        <w:rtl w:val="0"/>
      </w:rPr>
      <w:t xml:space="preserve">Manual – SIADES -  Módulo Almoxarifado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-1371597</wp:posOffset>
          </wp:positionH>
          <wp:positionV relativeFrom="paragraph">
            <wp:posOffset>-450211</wp:posOffset>
          </wp:positionV>
          <wp:extent cx="7953375" cy="1117283"/>
          <wp:effectExtent b="0" l="0" r="0" t="0"/>
          <wp:wrapNone/>
          <wp:docPr id="1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53375" cy="11172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-800097</wp:posOffset>
          </wp:positionH>
          <wp:positionV relativeFrom="paragraph">
            <wp:posOffset>-335912</wp:posOffset>
          </wp:positionV>
          <wp:extent cx="715328" cy="691483"/>
          <wp:effectExtent b="0" l="0" r="0" t="0"/>
          <wp:wrapNone/>
          <wp:docPr id="11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 b="0" l="684" r="683" t="0"/>
                  <a:stretch>
                    <a:fillRect/>
                  </a:stretch>
                </pic:blipFill>
                <pic:spPr>
                  <a:xfrm>
                    <a:off x="0" y="0"/>
                    <a:ext cx="715328" cy="69148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rPr>
        <w:rFonts w:ascii="Verdana" w:cs="Verdana" w:eastAsia="Verdana" w:hAnsi="Verdana"/>
        <w:b w:val="1"/>
        <w:bCs w:val="1"/>
        <w:color w:val="e94f28"/>
        <w:sz w:val="88"/>
        <w:szCs w:val="88"/>
      </w:rPr>
    </w:pPr>
    <w:r w:rsidDel="00000000" w:rsidR="00000000" w:rsidRPr="00000000">
      <w:rPr>
        <w:rtl w:val="0"/>
      </w:rPr>
      <w:tab/>
      <w:tab/>
      <w:tab/>
      <w:tab/>
    </w:r>
    <w:r w:rsidDel="00000000" w:rsidR="00000000" w:rsidRPr="00000000">
      <w:rPr>
        <w:rFonts w:ascii="Arial Narrow" w:cs="Arial Narrow" w:eastAsia="Arial Narrow" w:hAnsi="Arial Narrow"/>
        <w:color w:val="ffffff"/>
        <w:rtl w:val="0"/>
      </w:rPr>
      <w:t xml:space="preserve">Manual – SIADES – Almoxarifado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-1419222</wp:posOffset>
          </wp:positionH>
          <wp:positionV relativeFrom="paragraph">
            <wp:posOffset>-450211</wp:posOffset>
          </wp:positionV>
          <wp:extent cx="7953375" cy="1117283"/>
          <wp:effectExtent b="0" l="0" r="0" t="0"/>
          <wp:wrapNone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53375" cy="11172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-714372</wp:posOffset>
          </wp:positionH>
          <wp:positionV relativeFrom="paragraph">
            <wp:posOffset>-322438</wp:posOffset>
          </wp:positionV>
          <wp:extent cx="715328" cy="691483"/>
          <wp:effectExtent b="0" l="0" r="0" t="0"/>
          <wp:wrapNone/>
          <wp:docPr id="9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 b="0" l="684" r="683" t="0"/>
                  <a:stretch>
                    <a:fillRect/>
                  </a:stretch>
                </pic:blipFill>
                <pic:spPr>
                  <a:xfrm>
                    <a:off x="0" y="0"/>
                    <a:ext cx="715328" cy="69148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1"/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Arial Narrow" w:cs="Arial Narrow" w:eastAsia="Arial Narrow" w:hAnsi="Arial Narrow"/>
        <w:color w:val="ffffff"/>
        <w:rtl w:val="0"/>
      </w:rPr>
      <w:t xml:space="preserve">Manual – SIADES – Almoxarifado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widowControl w:val="0"/>
        <w:spacing w:after="160" w:line="48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9.png"/><Relationship Id="rId13" Type="http://schemas.openxmlformats.org/officeDocument/2006/relationships/header" Target="head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6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10.png"/><Relationship Id="rId3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0x0101007710E4D95755284892D776D0E98841F8</vt:lpwstr>
  </property>
</Properties>
</file>